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B4304" w14:textId="77777777" w:rsidR="000C168F" w:rsidRDefault="000C168F" w:rsidP="000C168F">
      <w:pPr>
        <w:pStyle w:val="Normalweb"/>
        <w:rPr>
          <w:b/>
          <w:sz w:val="28"/>
          <w:szCs w:val="28"/>
        </w:rPr>
      </w:pPr>
      <w:bookmarkStart w:id="0" w:name="_GoBack"/>
      <w:bookmarkEnd w:id="0"/>
      <w:r w:rsidRPr="00834CB5">
        <w:rPr>
          <w:b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40D60CF" wp14:editId="7047E39A">
            <wp:simplePos x="0" y="0"/>
            <wp:positionH relativeFrom="column">
              <wp:posOffset>-48145</wp:posOffset>
            </wp:positionH>
            <wp:positionV relativeFrom="paragraph">
              <wp:posOffset>58</wp:posOffset>
            </wp:positionV>
            <wp:extent cx="640800" cy="604800"/>
            <wp:effectExtent l="0" t="0" r="0" b="5080"/>
            <wp:wrapThrough wrapText="bothSides">
              <wp:wrapPolygon edited="0">
                <wp:start x="0" y="0"/>
                <wp:lineTo x="0" y="20874"/>
                <wp:lineTo x="20551" y="20874"/>
                <wp:lineTo x="20551" y="0"/>
                <wp:lineTo x="0" y="0"/>
              </wp:wrapPolygon>
            </wp:wrapThrough>
            <wp:docPr id="157" name="Imag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00" cy="6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5B3B">
        <w:rPr>
          <w:b/>
          <w:sz w:val="28"/>
          <w:szCs w:val="28"/>
        </w:rPr>
        <w:t>Boite à outils</w:t>
      </w:r>
    </w:p>
    <w:p w14:paraId="1A46D47C" w14:textId="77777777" w:rsidR="000C168F" w:rsidRPr="001859C3" w:rsidRDefault="000C168F" w:rsidP="000C168F">
      <w:pPr>
        <w:spacing w:line="276" w:lineRule="auto"/>
        <w:rPr>
          <w:rFonts w:eastAsia="Times New Roman"/>
        </w:rPr>
      </w:pPr>
      <w:r w:rsidRPr="001859C3">
        <w:rPr>
          <w:rFonts w:eastAsia="Times New Roman"/>
        </w:rPr>
        <w:t>Pour analyser l’environnement et soutenir la décision stratégique, plusieurs outils peuvent être mobilisés.</w:t>
      </w:r>
    </w:p>
    <w:p w14:paraId="2A525F55" w14:textId="77777777" w:rsidR="000C168F" w:rsidRPr="00237F61" w:rsidRDefault="000C168F" w:rsidP="000C168F">
      <w:pPr>
        <w:pStyle w:val="Pardeliste"/>
        <w:numPr>
          <w:ilvl w:val="0"/>
          <w:numId w:val="1"/>
        </w:numPr>
        <w:spacing w:before="120" w:after="120" w:line="276" w:lineRule="auto"/>
        <w:jc w:val="both"/>
        <w:rPr>
          <w:color w:val="000000" w:themeColor="text1"/>
          <w:lang w:eastAsia="en-US"/>
        </w:rPr>
      </w:pPr>
      <w:r w:rsidRPr="00237F61">
        <w:rPr>
          <w:color w:val="000000" w:themeColor="text1"/>
          <w:lang w:eastAsia="en-US"/>
        </w:rPr>
        <w:t xml:space="preserve">Le </w:t>
      </w:r>
      <w:r w:rsidRPr="00135B3B">
        <w:rPr>
          <w:b/>
          <w:color w:val="000000" w:themeColor="text1"/>
          <w:lang w:eastAsia="en-US"/>
        </w:rPr>
        <w:t>modèle PESTEL</w:t>
      </w:r>
      <w:r w:rsidRPr="00237F61">
        <w:rPr>
          <w:color w:val="000000" w:themeColor="text1"/>
          <w:lang w:eastAsia="en-US"/>
        </w:rPr>
        <w:t xml:space="preserve"> distingue six catégories d’influences macro-environnementales qui peuvent influencer une industrie. Il s’agit des facteurs :</w:t>
      </w:r>
    </w:p>
    <w:p w14:paraId="352001E4" w14:textId="77777777" w:rsidR="000C168F" w:rsidRPr="00237F61" w:rsidRDefault="000C168F" w:rsidP="000C168F">
      <w:pPr>
        <w:pStyle w:val="Pardeliste"/>
        <w:numPr>
          <w:ilvl w:val="0"/>
          <w:numId w:val="2"/>
        </w:numPr>
        <w:spacing w:before="120" w:after="120" w:line="276" w:lineRule="auto"/>
        <w:ind w:left="993" w:hanging="284"/>
        <w:jc w:val="both"/>
        <w:rPr>
          <w:color w:val="000000" w:themeColor="text1"/>
          <w:lang w:eastAsia="en-US"/>
        </w:rPr>
      </w:pPr>
      <w:r w:rsidRPr="00237F61">
        <w:rPr>
          <w:color w:val="000000" w:themeColor="text1"/>
          <w:lang w:eastAsia="en-US"/>
        </w:rPr>
        <w:t>Politiques : stabilité gouvernementale, politique fiscale, protection sociale, commerce extérieur, etc.</w:t>
      </w:r>
    </w:p>
    <w:p w14:paraId="27F562A5" w14:textId="77777777" w:rsidR="000C168F" w:rsidRPr="00237F61" w:rsidRDefault="000C168F" w:rsidP="000C168F">
      <w:pPr>
        <w:pStyle w:val="Pardeliste"/>
        <w:numPr>
          <w:ilvl w:val="0"/>
          <w:numId w:val="2"/>
        </w:numPr>
        <w:spacing w:before="120" w:after="120" w:line="276" w:lineRule="auto"/>
        <w:ind w:left="993" w:hanging="284"/>
        <w:jc w:val="both"/>
        <w:rPr>
          <w:color w:val="000000" w:themeColor="text1"/>
          <w:lang w:eastAsia="en-US"/>
        </w:rPr>
      </w:pPr>
      <w:r w:rsidRPr="00237F61">
        <w:rPr>
          <w:color w:val="000000" w:themeColor="text1"/>
          <w:lang w:eastAsia="en-US"/>
        </w:rPr>
        <w:t>Économiques : cycle économique, évolution du PNB, taux d’intérêt, politique monétaire, inflation, chômage, revenu disponible, etc.</w:t>
      </w:r>
    </w:p>
    <w:p w14:paraId="0BD60D1D" w14:textId="77777777" w:rsidR="000C168F" w:rsidRPr="00237F61" w:rsidRDefault="000C168F" w:rsidP="000C168F">
      <w:pPr>
        <w:pStyle w:val="Pardeliste"/>
        <w:numPr>
          <w:ilvl w:val="0"/>
          <w:numId w:val="2"/>
        </w:numPr>
        <w:spacing w:before="120" w:after="120" w:line="276" w:lineRule="auto"/>
        <w:ind w:left="993" w:hanging="284"/>
        <w:jc w:val="both"/>
        <w:rPr>
          <w:color w:val="000000" w:themeColor="text1"/>
          <w:lang w:eastAsia="en-US"/>
        </w:rPr>
      </w:pPr>
      <w:r w:rsidRPr="00237F61">
        <w:rPr>
          <w:color w:val="000000" w:themeColor="text1"/>
          <w:lang w:eastAsia="en-US"/>
        </w:rPr>
        <w:t>Socio-culturel : démographie, distribution des revenus, mobilité sociale, consumérisme, niveau d’éducation, attitude de loisir et de travail, etc.</w:t>
      </w:r>
    </w:p>
    <w:p w14:paraId="2DC1DBB7" w14:textId="77777777" w:rsidR="000C168F" w:rsidRPr="00237F61" w:rsidRDefault="000C168F" w:rsidP="000C168F">
      <w:pPr>
        <w:pStyle w:val="Pardeliste"/>
        <w:numPr>
          <w:ilvl w:val="0"/>
          <w:numId w:val="2"/>
        </w:numPr>
        <w:spacing w:before="120" w:after="120" w:line="276" w:lineRule="auto"/>
        <w:ind w:left="993" w:hanging="284"/>
        <w:jc w:val="both"/>
        <w:rPr>
          <w:color w:val="000000" w:themeColor="text1"/>
          <w:lang w:eastAsia="en-US"/>
        </w:rPr>
      </w:pPr>
      <w:r w:rsidRPr="00237F61">
        <w:rPr>
          <w:color w:val="000000" w:themeColor="text1"/>
          <w:lang w:eastAsia="en-US"/>
        </w:rPr>
        <w:t>Technologiques : dépenses publiques en R&amp;D, investissements privés sur la technologie, nouveaux brevets ou découvertes, vitesse de transfert technologique, taux d’obsolescence, etc.</w:t>
      </w:r>
    </w:p>
    <w:p w14:paraId="0116CE95" w14:textId="77777777" w:rsidR="000C168F" w:rsidRPr="00237F61" w:rsidRDefault="000C168F" w:rsidP="000C168F">
      <w:pPr>
        <w:pStyle w:val="Pardeliste"/>
        <w:numPr>
          <w:ilvl w:val="0"/>
          <w:numId w:val="2"/>
        </w:numPr>
        <w:spacing w:before="120" w:after="120" w:line="276" w:lineRule="auto"/>
        <w:ind w:left="993" w:hanging="284"/>
        <w:jc w:val="both"/>
        <w:rPr>
          <w:color w:val="000000" w:themeColor="text1"/>
          <w:lang w:eastAsia="en-US"/>
        </w:rPr>
      </w:pPr>
      <w:r w:rsidRPr="00237F61">
        <w:rPr>
          <w:color w:val="000000" w:themeColor="text1"/>
          <w:lang w:eastAsia="en-US"/>
        </w:rPr>
        <w:t>Environnemental : lois sur la protection de l’environnement, retraitement des déchets, consommation d’énergie, etc.</w:t>
      </w:r>
    </w:p>
    <w:p w14:paraId="62FFC819" w14:textId="77777777" w:rsidR="000C168F" w:rsidRPr="00237F61" w:rsidRDefault="000C168F" w:rsidP="000C168F">
      <w:pPr>
        <w:pStyle w:val="Pardeliste"/>
        <w:numPr>
          <w:ilvl w:val="0"/>
          <w:numId w:val="2"/>
        </w:numPr>
        <w:spacing w:before="120" w:after="120" w:line="276" w:lineRule="auto"/>
        <w:ind w:left="993" w:hanging="284"/>
        <w:jc w:val="both"/>
        <w:rPr>
          <w:color w:val="000000" w:themeColor="text1"/>
          <w:lang w:eastAsia="en-US"/>
        </w:rPr>
      </w:pPr>
      <w:r w:rsidRPr="00237F61">
        <w:rPr>
          <w:color w:val="000000" w:themeColor="text1"/>
          <w:lang w:eastAsia="en-US"/>
        </w:rPr>
        <w:t>Légaux : lois sur les monopoles, droit du travail, législation sur la santé, normes de sécurité, etc.</w:t>
      </w:r>
    </w:p>
    <w:p w14:paraId="09AC5A1A" w14:textId="77777777" w:rsidR="000C168F" w:rsidRPr="001A7ED9" w:rsidRDefault="000C168F" w:rsidP="000C168F">
      <w:pPr>
        <w:pStyle w:val="Normalweb"/>
        <w:numPr>
          <w:ilvl w:val="0"/>
          <w:numId w:val="1"/>
        </w:numPr>
        <w:jc w:val="both"/>
      </w:pPr>
      <w:r>
        <w:t xml:space="preserve">Un autre outil majeur pour analyser l’environnement concurrentiel est le modèle des </w:t>
      </w:r>
      <w:proofErr w:type="spellStart"/>
      <w:r>
        <w:rPr>
          <w:rStyle w:val="whitespace-normal"/>
          <w:b/>
          <w:bCs/>
        </w:rPr>
        <w:t>Porter's</w:t>
      </w:r>
      <w:proofErr w:type="spellEnd"/>
      <w:r>
        <w:rPr>
          <w:rStyle w:val="whitespace-normal"/>
          <w:b/>
          <w:bCs/>
        </w:rPr>
        <w:t xml:space="preserve"> Five Forces</w:t>
      </w:r>
      <w:r>
        <w:t xml:space="preserve">, développé par </w:t>
      </w:r>
      <w:r>
        <w:rPr>
          <w:rStyle w:val="whitespace-normal"/>
          <w:b/>
          <w:bCs/>
        </w:rPr>
        <w:t>Michael Porter</w:t>
      </w:r>
      <w:r>
        <w:t>. Ce modèle permet d’identifier les forces qui influencent la concurrence dans un secteur.</w:t>
      </w:r>
    </w:p>
    <w:p w14:paraId="34094F6B" w14:textId="77777777" w:rsidR="000C168F" w:rsidRPr="00135B3B" w:rsidRDefault="000C168F" w:rsidP="000C168F">
      <w:pPr>
        <w:pStyle w:val="Pardeliste"/>
        <w:numPr>
          <w:ilvl w:val="0"/>
          <w:numId w:val="2"/>
        </w:numPr>
        <w:spacing w:before="120" w:after="120" w:line="276" w:lineRule="auto"/>
        <w:ind w:left="993" w:hanging="284"/>
        <w:jc w:val="both"/>
        <w:rPr>
          <w:rFonts w:eastAsia="Times New Roman"/>
        </w:rPr>
      </w:pPr>
      <w:r>
        <w:rPr>
          <w:rFonts w:eastAsia="Times New Roman"/>
        </w:rPr>
        <w:t xml:space="preserve">Intensité de la concurrence entre les entreprises : </w:t>
      </w:r>
      <w:r>
        <w:t>Elle dépend notamment : du nombre de concurrents, du taux de croissance du marché, de la différenciation des produits.</w:t>
      </w:r>
    </w:p>
    <w:p w14:paraId="643889A5" w14:textId="77777777" w:rsidR="000C168F" w:rsidRPr="00135B3B" w:rsidRDefault="000C168F" w:rsidP="000C168F">
      <w:pPr>
        <w:pStyle w:val="Pardeliste"/>
        <w:numPr>
          <w:ilvl w:val="0"/>
          <w:numId w:val="2"/>
        </w:numPr>
        <w:spacing w:before="120" w:after="120" w:line="276" w:lineRule="auto"/>
        <w:ind w:left="993" w:hanging="284"/>
        <w:jc w:val="both"/>
        <w:rPr>
          <w:rFonts w:eastAsia="Times New Roman"/>
        </w:rPr>
      </w:pPr>
      <w:r>
        <w:rPr>
          <w:rFonts w:eastAsia="Times New Roman"/>
        </w:rPr>
        <w:t xml:space="preserve">Menace des nouveaux entrants : </w:t>
      </w:r>
      <w:r>
        <w:t>Certaines entreprises peuvent entrer sur un marché et renforcer la concurrence.</w:t>
      </w:r>
    </w:p>
    <w:p w14:paraId="68056D9C" w14:textId="77777777" w:rsidR="000C168F" w:rsidRPr="00135B3B" w:rsidRDefault="000C168F" w:rsidP="000C168F">
      <w:pPr>
        <w:pStyle w:val="Pardeliste"/>
        <w:numPr>
          <w:ilvl w:val="0"/>
          <w:numId w:val="2"/>
        </w:numPr>
        <w:spacing w:before="120" w:after="120" w:line="276" w:lineRule="auto"/>
        <w:ind w:left="993" w:hanging="284"/>
        <w:jc w:val="both"/>
        <w:rPr>
          <w:rFonts w:eastAsia="Times New Roman"/>
        </w:rPr>
      </w:pPr>
      <w:r>
        <w:rPr>
          <w:rFonts w:eastAsia="Times New Roman"/>
        </w:rPr>
        <w:t xml:space="preserve">Pouvoir de négociation des clients : </w:t>
      </w:r>
      <w:r>
        <w:t>Les clients peuvent influencer les prix ou les conditions de vente.</w:t>
      </w:r>
    </w:p>
    <w:p w14:paraId="334ADE60" w14:textId="77777777" w:rsidR="000C168F" w:rsidRPr="00135B3B" w:rsidRDefault="000C168F" w:rsidP="000C168F">
      <w:pPr>
        <w:pStyle w:val="Pardeliste"/>
        <w:numPr>
          <w:ilvl w:val="0"/>
          <w:numId w:val="2"/>
        </w:numPr>
        <w:spacing w:before="120" w:after="120" w:line="276" w:lineRule="auto"/>
        <w:ind w:left="993" w:hanging="284"/>
        <w:jc w:val="both"/>
        <w:rPr>
          <w:rFonts w:eastAsia="Times New Roman"/>
        </w:rPr>
      </w:pPr>
      <w:r>
        <w:rPr>
          <w:rFonts w:eastAsia="Times New Roman"/>
        </w:rPr>
        <w:t xml:space="preserve">Pouvoir de négociation des fournisseurs : </w:t>
      </w:r>
      <w:r>
        <w:t>Les fournisseurs peuvent imposer leurs conditions (pris, qualité, disponibilité, etc.) si leur pouvoir est important.</w:t>
      </w:r>
    </w:p>
    <w:p w14:paraId="5A41E782" w14:textId="77777777" w:rsidR="000C168F" w:rsidRPr="00CF6F66" w:rsidRDefault="000C168F" w:rsidP="000C168F">
      <w:pPr>
        <w:pStyle w:val="Pardeliste"/>
        <w:numPr>
          <w:ilvl w:val="0"/>
          <w:numId w:val="2"/>
        </w:numPr>
        <w:spacing w:before="120" w:after="120" w:line="276" w:lineRule="auto"/>
        <w:ind w:left="993" w:hanging="284"/>
        <w:jc w:val="both"/>
        <w:rPr>
          <w:rFonts w:eastAsia="Times New Roman"/>
        </w:rPr>
      </w:pPr>
      <w:r>
        <w:rPr>
          <w:rFonts w:eastAsia="Times New Roman"/>
        </w:rPr>
        <w:t xml:space="preserve">Menace des produits de substitution : </w:t>
      </w:r>
      <w:r>
        <w:t>Certains produits ou services peuvent remplacer l’offre existante.</w:t>
      </w:r>
    </w:p>
    <w:p w14:paraId="2D5B4FE0" w14:textId="77777777" w:rsidR="000C168F" w:rsidRPr="00834CB5" w:rsidRDefault="000C168F" w:rsidP="000C168F">
      <w:pPr>
        <w:pStyle w:val="Pardeliste"/>
        <w:numPr>
          <w:ilvl w:val="0"/>
          <w:numId w:val="1"/>
        </w:numPr>
        <w:spacing w:before="120" w:after="120" w:line="276" w:lineRule="auto"/>
        <w:jc w:val="both"/>
        <w:rPr>
          <w:rFonts w:eastAsia="Times New Roman"/>
        </w:rPr>
      </w:pPr>
      <w:r>
        <w:t xml:space="preserve">L’analyse </w:t>
      </w:r>
      <w:r>
        <w:rPr>
          <w:rStyle w:val="lev"/>
        </w:rPr>
        <w:t>SWOT</w:t>
      </w:r>
      <w:r>
        <w:t xml:space="preserve"> est un outil de synthèse stratégique qui permet d’évaluer la position d’une entreprise en croisant :</w:t>
      </w:r>
    </w:p>
    <w:p w14:paraId="23142290" w14:textId="77777777" w:rsidR="000C168F" w:rsidRDefault="000C168F" w:rsidP="000C168F">
      <w:pPr>
        <w:pStyle w:val="Normalweb"/>
        <w:numPr>
          <w:ilvl w:val="0"/>
          <w:numId w:val="3"/>
        </w:numPr>
      </w:pPr>
      <w:proofErr w:type="gramStart"/>
      <w:r>
        <w:t>l’analyse</w:t>
      </w:r>
      <w:proofErr w:type="gramEnd"/>
      <w:r>
        <w:t xml:space="preserve"> interne</w:t>
      </w:r>
    </w:p>
    <w:p w14:paraId="567EAE26" w14:textId="77777777" w:rsidR="000C168F" w:rsidRDefault="000C168F" w:rsidP="000C168F">
      <w:pPr>
        <w:pStyle w:val="Normalweb"/>
        <w:numPr>
          <w:ilvl w:val="0"/>
          <w:numId w:val="3"/>
        </w:numPr>
      </w:pPr>
      <w:proofErr w:type="gramStart"/>
      <w:r>
        <w:t>l’analyse</w:t>
      </w:r>
      <w:proofErr w:type="gramEnd"/>
      <w:r>
        <w:t xml:space="preserve"> externe</w:t>
      </w:r>
    </w:p>
    <w:p w14:paraId="54EBDEB7" w14:textId="77777777" w:rsidR="000C168F" w:rsidRDefault="000C168F" w:rsidP="000C168F">
      <w:pPr>
        <w:pStyle w:val="Normalweb"/>
      </w:pPr>
      <w:r>
        <w:t>Le modèle SWOT repose sur quatre dimensions.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3686"/>
      </w:tblGrid>
      <w:tr w:rsidR="000C168F" w14:paraId="04B97A93" w14:textId="77777777" w:rsidTr="009B0029">
        <w:trPr>
          <w:tblHeader/>
          <w:tblCellSpacing w:w="15" w:type="dxa"/>
          <w:jc w:val="center"/>
        </w:trPr>
        <w:tc>
          <w:tcPr>
            <w:tcW w:w="3919" w:type="dxa"/>
            <w:vAlign w:val="center"/>
            <w:hideMark/>
          </w:tcPr>
          <w:p w14:paraId="77CBF66F" w14:textId="77777777" w:rsidR="000C168F" w:rsidRDefault="000C168F" w:rsidP="009B002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lastRenderedPageBreak/>
              <w:t>Analyse interne</w:t>
            </w:r>
          </w:p>
        </w:tc>
        <w:tc>
          <w:tcPr>
            <w:tcW w:w="3641" w:type="dxa"/>
            <w:vAlign w:val="center"/>
            <w:hideMark/>
          </w:tcPr>
          <w:p w14:paraId="66B9E600" w14:textId="77777777" w:rsidR="000C168F" w:rsidRDefault="000C168F" w:rsidP="009B002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Analyse externe</w:t>
            </w:r>
          </w:p>
        </w:tc>
      </w:tr>
      <w:tr w:rsidR="000C168F" w14:paraId="29A78D7E" w14:textId="77777777" w:rsidTr="009B0029">
        <w:trPr>
          <w:tblCellSpacing w:w="15" w:type="dxa"/>
          <w:jc w:val="center"/>
        </w:trPr>
        <w:tc>
          <w:tcPr>
            <w:tcW w:w="3919" w:type="dxa"/>
            <w:vAlign w:val="center"/>
            <w:hideMark/>
          </w:tcPr>
          <w:p w14:paraId="5AA01472" w14:textId="77777777" w:rsidR="000C168F" w:rsidRDefault="000C168F" w:rsidP="009B0029">
            <w:pPr>
              <w:rPr>
                <w:rFonts w:eastAsia="Times New Roman"/>
              </w:rPr>
            </w:pPr>
            <w:r>
              <w:rPr>
                <w:rStyle w:val="lev"/>
                <w:rFonts w:eastAsia="Times New Roman"/>
              </w:rPr>
              <w:t>Forces (</w:t>
            </w:r>
            <w:proofErr w:type="spellStart"/>
            <w:r>
              <w:rPr>
                <w:rStyle w:val="lev"/>
                <w:rFonts w:eastAsia="Times New Roman"/>
              </w:rPr>
              <w:t>Strengths</w:t>
            </w:r>
            <w:proofErr w:type="spellEnd"/>
            <w:r>
              <w:rPr>
                <w:rStyle w:val="lev"/>
                <w:rFonts w:eastAsia="Times New Roman"/>
              </w:rPr>
              <w:t>)</w:t>
            </w:r>
            <w:r>
              <w:rPr>
                <w:rFonts w:eastAsia="Times New Roman"/>
              </w:rPr>
              <w:t xml:space="preserve"> : avantages compétitifs de l’entreprise</w:t>
            </w:r>
          </w:p>
        </w:tc>
        <w:tc>
          <w:tcPr>
            <w:tcW w:w="3641" w:type="dxa"/>
            <w:vAlign w:val="center"/>
            <w:hideMark/>
          </w:tcPr>
          <w:p w14:paraId="4A3D3859" w14:textId="77777777" w:rsidR="000C168F" w:rsidRDefault="000C168F" w:rsidP="009B0029">
            <w:pPr>
              <w:rPr>
                <w:rFonts w:eastAsia="Times New Roman"/>
              </w:rPr>
            </w:pPr>
            <w:r>
              <w:rPr>
                <w:rStyle w:val="lev"/>
                <w:rFonts w:eastAsia="Times New Roman"/>
              </w:rPr>
              <w:t>Opportunités (</w:t>
            </w:r>
            <w:proofErr w:type="spellStart"/>
            <w:r>
              <w:rPr>
                <w:rStyle w:val="lev"/>
                <w:rFonts w:eastAsia="Times New Roman"/>
              </w:rPr>
              <w:t>Opportunities</w:t>
            </w:r>
            <w:proofErr w:type="spellEnd"/>
            <w:r>
              <w:rPr>
                <w:rStyle w:val="lev"/>
                <w:rFonts w:eastAsia="Times New Roman"/>
              </w:rPr>
              <w:t>)</w:t>
            </w:r>
            <w:r>
              <w:rPr>
                <w:rFonts w:eastAsia="Times New Roman"/>
              </w:rPr>
              <w:t xml:space="preserve"> : évolutions favorables de l’environnement</w:t>
            </w:r>
          </w:p>
        </w:tc>
      </w:tr>
      <w:tr w:rsidR="000C168F" w14:paraId="3F4382DB" w14:textId="77777777" w:rsidTr="009B0029">
        <w:trPr>
          <w:tblCellSpacing w:w="15" w:type="dxa"/>
          <w:jc w:val="center"/>
        </w:trPr>
        <w:tc>
          <w:tcPr>
            <w:tcW w:w="3919" w:type="dxa"/>
            <w:vAlign w:val="center"/>
            <w:hideMark/>
          </w:tcPr>
          <w:p w14:paraId="1BEBE87A" w14:textId="77777777" w:rsidR="000C168F" w:rsidRDefault="000C168F" w:rsidP="009B0029">
            <w:pPr>
              <w:rPr>
                <w:rFonts w:eastAsia="Times New Roman"/>
              </w:rPr>
            </w:pPr>
            <w:r>
              <w:rPr>
                <w:rStyle w:val="lev"/>
                <w:rFonts w:eastAsia="Times New Roman"/>
              </w:rPr>
              <w:t>Faiblesses (</w:t>
            </w:r>
            <w:proofErr w:type="spellStart"/>
            <w:r>
              <w:rPr>
                <w:rStyle w:val="lev"/>
                <w:rFonts w:eastAsia="Times New Roman"/>
              </w:rPr>
              <w:t>Weaknesses</w:t>
            </w:r>
            <w:proofErr w:type="spellEnd"/>
            <w:r>
              <w:rPr>
                <w:rStyle w:val="lev"/>
                <w:rFonts w:eastAsia="Times New Roman"/>
              </w:rPr>
              <w:t>)</w:t>
            </w:r>
            <w:r>
              <w:rPr>
                <w:rFonts w:eastAsia="Times New Roman"/>
              </w:rPr>
              <w:t xml:space="preserve"> : limites ou insuffisances de l’entreprise</w:t>
            </w:r>
          </w:p>
        </w:tc>
        <w:tc>
          <w:tcPr>
            <w:tcW w:w="3641" w:type="dxa"/>
            <w:vAlign w:val="center"/>
            <w:hideMark/>
          </w:tcPr>
          <w:p w14:paraId="444251A8" w14:textId="77777777" w:rsidR="000C168F" w:rsidRDefault="000C168F" w:rsidP="009B0029">
            <w:pPr>
              <w:rPr>
                <w:rFonts w:eastAsia="Times New Roman"/>
              </w:rPr>
            </w:pPr>
            <w:r>
              <w:rPr>
                <w:rStyle w:val="lev"/>
                <w:rFonts w:eastAsia="Times New Roman"/>
              </w:rPr>
              <w:t>Menaces (</w:t>
            </w:r>
            <w:proofErr w:type="spellStart"/>
            <w:r>
              <w:rPr>
                <w:rStyle w:val="lev"/>
                <w:rFonts w:eastAsia="Times New Roman"/>
              </w:rPr>
              <w:t>Threats</w:t>
            </w:r>
            <w:proofErr w:type="spellEnd"/>
            <w:r>
              <w:rPr>
                <w:rStyle w:val="lev"/>
                <w:rFonts w:eastAsia="Times New Roman"/>
              </w:rPr>
              <w:t>)</w:t>
            </w:r>
            <w:r>
              <w:rPr>
                <w:rFonts w:eastAsia="Times New Roman"/>
              </w:rPr>
              <w:t xml:space="preserve"> : risques liés à l’environnement</w:t>
            </w:r>
          </w:p>
        </w:tc>
      </w:tr>
    </w:tbl>
    <w:p w14:paraId="1BFFE9D2" w14:textId="77777777" w:rsidR="000C168F" w:rsidRDefault="000C168F" w:rsidP="000C168F">
      <w:pPr>
        <w:pStyle w:val="Titre3"/>
        <w:rPr>
          <w:rFonts w:eastAsia="Times New Roman"/>
        </w:rPr>
      </w:pPr>
      <w:r>
        <w:rPr>
          <w:rFonts w:eastAsia="Times New Roman"/>
        </w:rPr>
        <w:t>Exemple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3570"/>
      </w:tblGrid>
      <w:tr w:rsidR="000C168F" w14:paraId="6B0CE28E" w14:textId="77777777" w:rsidTr="009B0029">
        <w:trPr>
          <w:tblHeader/>
          <w:tblCellSpacing w:w="15" w:type="dxa"/>
          <w:jc w:val="center"/>
        </w:trPr>
        <w:tc>
          <w:tcPr>
            <w:tcW w:w="3919" w:type="dxa"/>
            <w:vAlign w:val="center"/>
            <w:hideMark/>
          </w:tcPr>
          <w:p w14:paraId="43B9E419" w14:textId="77777777" w:rsidR="000C168F" w:rsidRDefault="000C168F" w:rsidP="009B002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Forces</w:t>
            </w:r>
          </w:p>
        </w:tc>
        <w:tc>
          <w:tcPr>
            <w:tcW w:w="3525" w:type="dxa"/>
            <w:vAlign w:val="center"/>
            <w:hideMark/>
          </w:tcPr>
          <w:p w14:paraId="4D705F82" w14:textId="77777777" w:rsidR="000C168F" w:rsidRDefault="000C168F" w:rsidP="009B002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Faiblesses</w:t>
            </w:r>
          </w:p>
        </w:tc>
      </w:tr>
      <w:tr w:rsidR="000C168F" w14:paraId="25FF5810" w14:textId="77777777" w:rsidTr="009B0029">
        <w:trPr>
          <w:tblCellSpacing w:w="15" w:type="dxa"/>
          <w:jc w:val="center"/>
        </w:trPr>
        <w:tc>
          <w:tcPr>
            <w:tcW w:w="3919" w:type="dxa"/>
            <w:vAlign w:val="center"/>
            <w:hideMark/>
          </w:tcPr>
          <w:p w14:paraId="685C43BD" w14:textId="77777777" w:rsidR="000C168F" w:rsidRDefault="000C168F" w:rsidP="009B002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forte capacité d’innovation</w:t>
            </w:r>
          </w:p>
        </w:tc>
        <w:tc>
          <w:tcPr>
            <w:tcW w:w="3525" w:type="dxa"/>
            <w:vAlign w:val="center"/>
            <w:hideMark/>
          </w:tcPr>
          <w:p w14:paraId="369FA811" w14:textId="77777777" w:rsidR="000C168F" w:rsidRDefault="000C168F" w:rsidP="009B002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ressources financières limitées</w:t>
            </w:r>
          </w:p>
        </w:tc>
      </w:tr>
      <w:tr w:rsidR="000C168F" w14:paraId="3911B645" w14:textId="77777777" w:rsidTr="009B0029">
        <w:trPr>
          <w:tblCellSpacing w:w="15" w:type="dxa"/>
          <w:jc w:val="center"/>
        </w:trPr>
        <w:tc>
          <w:tcPr>
            <w:tcW w:w="3919" w:type="dxa"/>
            <w:vAlign w:val="center"/>
            <w:hideMark/>
          </w:tcPr>
          <w:p w14:paraId="4FE22704" w14:textId="77777777" w:rsidR="000C168F" w:rsidRDefault="000C168F" w:rsidP="009B002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image de marque forte</w:t>
            </w:r>
          </w:p>
        </w:tc>
        <w:tc>
          <w:tcPr>
            <w:tcW w:w="3525" w:type="dxa"/>
            <w:vAlign w:val="center"/>
            <w:hideMark/>
          </w:tcPr>
          <w:p w14:paraId="31FFB00D" w14:textId="77777777" w:rsidR="000C168F" w:rsidRDefault="000C168F" w:rsidP="009B002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dépendance à un fournisseur</w:t>
            </w:r>
          </w:p>
        </w:tc>
      </w:tr>
      <w:tr w:rsidR="000C168F" w14:paraId="647C1974" w14:textId="77777777" w:rsidTr="009B0029">
        <w:trPr>
          <w:tblHeader/>
          <w:tblCellSpacing w:w="15" w:type="dxa"/>
          <w:jc w:val="center"/>
        </w:trPr>
        <w:tc>
          <w:tcPr>
            <w:tcW w:w="3919" w:type="dxa"/>
            <w:vAlign w:val="center"/>
            <w:hideMark/>
          </w:tcPr>
          <w:p w14:paraId="778A3CD8" w14:textId="77777777" w:rsidR="000C168F" w:rsidRDefault="000C168F" w:rsidP="009B002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Opportunités</w:t>
            </w:r>
          </w:p>
        </w:tc>
        <w:tc>
          <w:tcPr>
            <w:tcW w:w="3525" w:type="dxa"/>
            <w:vAlign w:val="center"/>
            <w:hideMark/>
          </w:tcPr>
          <w:p w14:paraId="0D4D2B20" w14:textId="77777777" w:rsidR="000C168F" w:rsidRDefault="000C168F" w:rsidP="009B002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Menaces</w:t>
            </w:r>
          </w:p>
        </w:tc>
      </w:tr>
      <w:tr w:rsidR="000C168F" w14:paraId="7F10B588" w14:textId="77777777" w:rsidTr="009B0029">
        <w:trPr>
          <w:tblCellSpacing w:w="15" w:type="dxa"/>
          <w:jc w:val="center"/>
        </w:trPr>
        <w:tc>
          <w:tcPr>
            <w:tcW w:w="3919" w:type="dxa"/>
            <w:vAlign w:val="center"/>
            <w:hideMark/>
          </w:tcPr>
          <w:p w14:paraId="07E96524" w14:textId="77777777" w:rsidR="000C168F" w:rsidRDefault="000C168F" w:rsidP="009B002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croissance du marché</w:t>
            </w:r>
          </w:p>
        </w:tc>
        <w:tc>
          <w:tcPr>
            <w:tcW w:w="3525" w:type="dxa"/>
            <w:vAlign w:val="center"/>
            <w:hideMark/>
          </w:tcPr>
          <w:p w14:paraId="1FD9BC12" w14:textId="77777777" w:rsidR="000C168F" w:rsidRDefault="000C168F" w:rsidP="009B002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nouveaux concurrents</w:t>
            </w:r>
          </w:p>
        </w:tc>
      </w:tr>
      <w:tr w:rsidR="000C168F" w14:paraId="60E56F14" w14:textId="77777777" w:rsidTr="009B0029">
        <w:trPr>
          <w:tblCellSpacing w:w="15" w:type="dxa"/>
          <w:jc w:val="center"/>
        </w:trPr>
        <w:tc>
          <w:tcPr>
            <w:tcW w:w="3919" w:type="dxa"/>
            <w:vAlign w:val="center"/>
            <w:hideMark/>
          </w:tcPr>
          <w:p w14:paraId="3F112F0C" w14:textId="77777777" w:rsidR="000C168F" w:rsidRDefault="000C168F" w:rsidP="009B002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nouvelles technologies</w:t>
            </w:r>
          </w:p>
        </w:tc>
        <w:tc>
          <w:tcPr>
            <w:tcW w:w="3525" w:type="dxa"/>
            <w:vAlign w:val="center"/>
            <w:hideMark/>
          </w:tcPr>
          <w:p w14:paraId="1146B6F4" w14:textId="77777777" w:rsidR="000C168F" w:rsidRDefault="000C168F" w:rsidP="009B002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évolution de la réglementation</w:t>
            </w:r>
          </w:p>
        </w:tc>
      </w:tr>
    </w:tbl>
    <w:p w14:paraId="5CE33432" w14:textId="77777777" w:rsidR="000C168F" w:rsidRDefault="000C168F" w:rsidP="000C168F">
      <w:pPr>
        <w:pStyle w:val="Normalweb"/>
        <w:jc w:val="both"/>
      </w:pPr>
      <w:r>
        <w:t xml:space="preserve">L’analyse SWOT permet ainsi </w:t>
      </w:r>
      <w:r w:rsidRPr="003E0FD7">
        <w:rPr>
          <w:rStyle w:val="lev"/>
          <w:b w:val="0"/>
        </w:rPr>
        <w:t>de relier l’analyse interne et externe afin de formuler des orientations stratégiques.</w:t>
      </w:r>
    </w:p>
    <w:p w14:paraId="13564B84" w14:textId="77777777" w:rsidR="00827D69" w:rsidRDefault="00827D69"/>
    <w:sectPr w:rsidR="00827D69" w:rsidSect="007F2F6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47928"/>
    <w:multiLevelType w:val="hybridMultilevel"/>
    <w:tmpl w:val="03A642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2070D"/>
    <w:multiLevelType w:val="hybridMultilevel"/>
    <w:tmpl w:val="6CBE4576"/>
    <w:lvl w:ilvl="0" w:tplc="779AC64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D21810"/>
    <w:multiLevelType w:val="multilevel"/>
    <w:tmpl w:val="AB3E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8F"/>
    <w:rsid w:val="000C168F"/>
    <w:rsid w:val="007F2F66"/>
    <w:rsid w:val="0082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E3C88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68F"/>
    <w:rPr>
      <w:rFonts w:ascii="Times New Roman" w:hAnsi="Times New Roman" w:cs="Times New Roman"/>
      <w:lang w:eastAsia="fr-FR"/>
    </w:rPr>
  </w:style>
  <w:style w:type="paragraph" w:styleId="Titre3">
    <w:name w:val="heading 3"/>
    <w:basedOn w:val="Normal"/>
    <w:link w:val="Titre3Car"/>
    <w:uiPriority w:val="9"/>
    <w:qFormat/>
    <w:rsid w:val="000C168F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C168F"/>
    <w:rPr>
      <w:rFonts w:ascii="Times New Roman" w:eastAsiaTheme="minorEastAsia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0C168F"/>
    <w:rPr>
      <w:b/>
      <w:bCs/>
    </w:rPr>
  </w:style>
  <w:style w:type="paragraph" w:styleId="Normalweb">
    <w:name w:val="Normal (Web)"/>
    <w:basedOn w:val="Normal"/>
    <w:uiPriority w:val="99"/>
    <w:unhideWhenUsed/>
    <w:rsid w:val="000C168F"/>
    <w:pPr>
      <w:spacing w:before="100" w:beforeAutospacing="1" w:after="100" w:afterAutospacing="1"/>
    </w:pPr>
  </w:style>
  <w:style w:type="paragraph" w:styleId="Pardeliste">
    <w:name w:val="List Paragraph"/>
    <w:basedOn w:val="Normal"/>
    <w:uiPriority w:val="34"/>
    <w:qFormat/>
    <w:rsid w:val="000C168F"/>
    <w:pPr>
      <w:ind w:left="720"/>
      <w:contextualSpacing/>
    </w:pPr>
  </w:style>
  <w:style w:type="character" w:customStyle="1" w:styleId="whitespace-normal">
    <w:name w:val="whitespace-normal"/>
    <w:basedOn w:val="Policepardfaut"/>
    <w:rsid w:val="000C1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2354</Characters>
  <Application>Microsoft Macintosh Word</Application>
  <DocSecurity>0</DocSecurity>
  <Lines>19</Lines>
  <Paragraphs>5</Paragraphs>
  <ScaleCrop>false</ScaleCrop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1</cp:revision>
  <dcterms:created xsi:type="dcterms:W3CDTF">2026-03-15T13:13:00Z</dcterms:created>
  <dcterms:modified xsi:type="dcterms:W3CDTF">2026-03-15T13:14:00Z</dcterms:modified>
</cp:coreProperties>
</file>